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305D" w14:textId="77777777" w:rsidR="00FB27CA" w:rsidRPr="00FB27CA" w:rsidRDefault="00FB27CA" w:rsidP="00FB27CA">
      <w:pPr>
        <w:spacing w:after="480" w:line="280" w:lineRule="atLeast"/>
        <w:rPr>
          <w:rFonts w:ascii="Cambria" w:hAnsi="Cambria" w:cstheme="majorHAnsi"/>
          <w:b/>
          <w:sz w:val="28"/>
          <w:szCs w:val="20"/>
        </w:rPr>
      </w:pPr>
      <w:r w:rsidRPr="00FB27CA">
        <w:rPr>
          <w:rFonts w:ascii="Cambria" w:hAnsi="Cambria" w:cstheme="majorHAnsi"/>
          <w:b/>
          <w:sz w:val="28"/>
          <w:szCs w:val="20"/>
        </w:rPr>
        <w:t>Procedure en voorwaarden voor het indienen van projecten met PPS-programmatoeslag</w:t>
      </w:r>
    </w:p>
    <w:p w14:paraId="01113116"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De PPS-programmatoeslag is een subsidiemiddel van het ministerie van Economische Zaken en Klimaat om publiek-private samenwerkingsprojecten te stimuleren. De verschillende Topconsortia voor Kennis en Innovatie (</w:t>
      </w:r>
      <w:proofErr w:type="spellStart"/>
      <w:r w:rsidRPr="00FB27CA">
        <w:rPr>
          <w:rFonts w:asciiTheme="majorHAnsi" w:hAnsiTheme="majorHAnsi" w:cstheme="majorHAnsi"/>
          <w:sz w:val="20"/>
          <w:szCs w:val="20"/>
        </w:rPr>
        <w:t>TKI’s</w:t>
      </w:r>
      <w:proofErr w:type="spellEnd"/>
      <w:r w:rsidRPr="00FB27CA">
        <w:rPr>
          <w:rFonts w:asciiTheme="majorHAnsi" w:hAnsiTheme="majorHAnsi" w:cstheme="majorHAnsi"/>
          <w:sz w:val="20"/>
          <w:szCs w:val="20"/>
        </w:rPr>
        <w:t xml:space="preserve">) ontvangen de PPS-programmatoeslag en zetten deze middelen in voor nieuwe samenwerkingsprojecten. Deze nieuwe TKI-samenwerkingsprojecten kunnen bestaan uit fundamenteel onderzoek, industrieel onderzoek of experimentele ontwikkeling. Zie ook de </w:t>
      </w:r>
      <w:hyperlink r:id="rId7" w:history="1">
        <w:r w:rsidRPr="00FB27CA">
          <w:rPr>
            <w:rStyle w:val="Hyperlink"/>
            <w:rFonts w:asciiTheme="majorHAnsi" w:hAnsiTheme="majorHAnsi" w:cstheme="majorHAnsi"/>
            <w:color w:val="00B9EA"/>
            <w:sz w:val="20"/>
            <w:szCs w:val="20"/>
          </w:rPr>
          <w:t>definities</w:t>
        </w:r>
      </w:hyperlink>
      <w:r w:rsidRPr="00FB27CA">
        <w:rPr>
          <w:rFonts w:asciiTheme="majorHAnsi" w:hAnsiTheme="majorHAnsi" w:cstheme="majorHAnsi"/>
          <w:sz w:val="20"/>
          <w:szCs w:val="20"/>
        </w:rPr>
        <w:t xml:space="preserve"> op de website van RVO.</w:t>
      </w:r>
    </w:p>
    <w:p w14:paraId="0B94CF8B" w14:textId="77777777" w:rsidR="00FB27CA" w:rsidRPr="00FB27CA" w:rsidRDefault="00FB27CA" w:rsidP="00FB27CA">
      <w:pPr>
        <w:spacing w:after="0" w:line="280" w:lineRule="atLeast"/>
        <w:rPr>
          <w:rFonts w:asciiTheme="majorHAnsi" w:hAnsiTheme="majorHAnsi" w:cstheme="majorHAnsi"/>
          <w:sz w:val="20"/>
          <w:szCs w:val="20"/>
        </w:rPr>
      </w:pPr>
    </w:p>
    <w:p w14:paraId="66EAC3F6" w14:textId="551B30AB"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 xml:space="preserve">Nieuwe TKI-projecten krijgen gestalte in samenwerking tussen bedrijven en de onderzoeksorganisaties die PPS-programmatoeslag genereren. TKI Watertechnologie werkt niet met jaarlijkse calls voor projectvoorstellen, maar voert </w:t>
      </w:r>
      <w:r w:rsidR="001125C5">
        <w:rPr>
          <w:rFonts w:asciiTheme="majorHAnsi" w:hAnsiTheme="majorHAnsi" w:cstheme="majorHAnsi"/>
          <w:sz w:val="20"/>
          <w:szCs w:val="20"/>
        </w:rPr>
        <w:t>vier</w:t>
      </w:r>
      <w:r w:rsidRPr="00FB27CA">
        <w:rPr>
          <w:rFonts w:asciiTheme="majorHAnsi" w:hAnsiTheme="majorHAnsi" w:cstheme="majorHAnsi"/>
          <w:sz w:val="20"/>
          <w:szCs w:val="20"/>
        </w:rPr>
        <w:t xml:space="preserve"> keer per jaar toekenningen hiervan uit.</w:t>
      </w:r>
    </w:p>
    <w:p w14:paraId="576CB01C" w14:textId="77777777" w:rsidR="00FB27CA" w:rsidRPr="00FB27CA" w:rsidRDefault="00FB27CA" w:rsidP="00FB27CA">
      <w:pPr>
        <w:spacing w:after="0" w:line="280" w:lineRule="atLeast"/>
        <w:rPr>
          <w:rFonts w:asciiTheme="majorHAnsi" w:hAnsiTheme="majorHAnsi" w:cstheme="majorHAnsi"/>
          <w:sz w:val="20"/>
          <w:szCs w:val="20"/>
        </w:rPr>
      </w:pPr>
    </w:p>
    <w:p w14:paraId="7FAD0E5D"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De volgende voorwaarden zijn van toepassing:</w:t>
      </w:r>
    </w:p>
    <w:p w14:paraId="2D0D1114" w14:textId="77777777" w:rsidR="00FB27CA" w:rsidRPr="00FB27CA" w:rsidRDefault="00FB27CA" w:rsidP="00FB27CA">
      <w:pPr>
        <w:pStyle w:val="ListParagraph"/>
        <w:numPr>
          <w:ilvl w:val="0"/>
          <w:numId w:val="3"/>
        </w:num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 xml:space="preserve">inhoudelijk past het project binnen de thema’s van het </w:t>
      </w:r>
      <w:proofErr w:type="spellStart"/>
      <w:r w:rsidRPr="00FB27CA">
        <w:rPr>
          <w:rFonts w:asciiTheme="majorHAnsi" w:hAnsiTheme="majorHAnsi" w:cstheme="majorHAnsi"/>
          <w:sz w:val="20"/>
          <w:szCs w:val="20"/>
        </w:rPr>
        <w:t>missiegedreven</w:t>
      </w:r>
      <w:proofErr w:type="spellEnd"/>
      <w:r w:rsidRPr="00FB27CA">
        <w:rPr>
          <w:rFonts w:asciiTheme="majorHAnsi" w:hAnsiTheme="majorHAnsi" w:cstheme="majorHAnsi"/>
          <w:sz w:val="20"/>
          <w:szCs w:val="20"/>
        </w:rPr>
        <w:t xml:space="preserve"> innovatiebeleid en de Kennis- en </w:t>
      </w:r>
      <w:proofErr w:type="spellStart"/>
      <w:r w:rsidRPr="00FB27CA">
        <w:rPr>
          <w:rFonts w:asciiTheme="majorHAnsi" w:hAnsiTheme="majorHAnsi" w:cstheme="majorHAnsi"/>
          <w:sz w:val="20"/>
          <w:szCs w:val="20"/>
        </w:rPr>
        <w:t>InnovatieAgenda’s</w:t>
      </w:r>
      <w:proofErr w:type="spellEnd"/>
      <w:r w:rsidRPr="00FB27CA">
        <w:rPr>
          <w:rFonts w:asciiTheme="majorHAnsi" w:hAnsiTheme="majorHAnsi" w:cstheme="majorHAnsi"/>
          <w:sz w:val="20"/>
          <w:szCs w:val="20"/>
        </w:rPr>
        <w:t xml:space="preserve"> (KIA) die daarbinnen voor watertechnologie relevant zijn;</w:t>
      </w:r>
    </w:p>
    <w:p w14:paraId="6954F984" w14:textId="77777777" w:rsidR="00FB27CA" w:rsidRPr="00FB27CA" w:rsidRDefault="00FB27CA" w:rsidP="00FB27CA">
      <w:pPr>
        <w:pStyle w:val="ListParagraph"/>
        <w:numPr>
          <w:ilvl w:val="0"/>
          <w:numId w:val="3"/>
        </w:num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de looptijd van het project bedraagt één tot vier jaar;</w:t>
      </w:r>
    </w:p>
    <w:p w14:paraId="7BF52134" w14:textId="77777777" w:rsidR="00FB27CA" w:rsidRPr="00FB27CA" w:rsidRDefault="00FB27CA" w:rsidP="00FB27CA">
      <w:pPr>
        <w:pStyle w:val="ListParagraph"/>
        <w:numPr>
          <w:ilvl w:val="0"/>
          <w:numId w:val="3"/>
        </w:num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deelnemende bedrijven leveren hun bijdragen in cash of in de vorm van in-natura;</w:t>
      </w:r>
    </w:p>
    <w:p w14:paraId="0607C972" w14:textId="1D17640C" w:rsidR="00FB27CA" w:rsidRPr="00FB27CA" w:rsidRDefault="00FB27CA" w:rsidP="00FB27CA">
      <w:pPr>
        <w:pStyle w:val="ListParagraph"/>
        <w:numPr>
          <w:ilvl w:val="0"/>
          <w:numId w:val="3"/>
        </w:num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 xml:space="preserve">het project wordt uitgevoerd met een </w:t>
      </w:r>
      <w:r w:rsidR="001125C5">
        <w:rPr>
          <w:rFonts w:asciiTheme="majorHAnsi" w:hAnsiTheme="majorHAnsi" w:cstheme="majorHAnsi"/>
          <w:sz w:val="20"/>
          <w:szCs w:val="20"/>
        </w:rPr>
        <w:t>van de aan TKI Watertechnologie deelnemende</w:t>
      </w:r>
      <w:r w:rsidRPr="00FB27CA">
        <w:rPr>
          <w:rFonts w:asciiTheme="majorHAnsi" w:hAnsiTheme="majorHAnsi" w:cstheme="majorHAnsi"/>
          <w:sz w:val="20"/>
          <w:szCs w:val="20"/>
        </w:rPr>
        <w:t xml:space="preserve"> onderzoeksorganisaties</w:t>
      </w:r>
    </w:p>
    <w:p w14:paraId="73C7D023" w14:textId="77777777" w:rsidR="00FB27CA" w:rsidRPr="00FB27CA" w:rsidRDefault="00FB27CA" w:rsidP="00FB27CA">
      <w:pPr>
        <w:pStyle w:val="ListParagraph"/>
        <w:numPr>
          <w:ilvl w:val="0"/>
          <w:numId w:val="3"/>
        </w:num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afhankelijk van de aard van het project wordt 25, 50% of 100% van de kosten van het project gedragen door TKI Watertechnologie in de vorm van een PPS-programmatoeslag.</w:t>
      </w:r>
    </w:p>
    <w:p w14:paraId="5388B19F"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Voorts gelden voor TKI-projecten de voorwaarden van RVO.</w:t>
      </w:r>
    </w:p>
    <w:p w14:paraId="3E12F19C" w14:textId="77777777" w:rsidR="00FB27CA" w:rsidRPr="00FB27CA" w:rsidRDefault="00FB27CA" w:rsidP="00FB27CA">
      <w:pPr>
        <w:spacing w:before="360" w:after="120" w:line="280" w:lineRule="atLeast"/>
        <w:rPr>
          <w:rFonts w:ascii="Cambria" w:hAnsi="Cambria" w:cstheme="majorHAnsi"/>
          <w:b/>
          <w:sz w:val="20"/>
          <w:szCs w:val="20"/>
        </w:rPr>
      </w:pPr>
      <w:r w:rsidRPr="00FB27CA">
        <w:rPr>
          <w:rFonts w:ascii="Cambria" w:hAnsi="Cambria" w:cstheme="majorHAnsi"/>
          <w:b/>
          <w:sz w:val="20"/>
          <w:szCs w:val="20"/>
        </w:rPr>
        <w:t>Wie kan indienen?</w:t>
      </w:r>
    </w:p>
    <w:p w14:paraId="77CBC722"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 xml:space="preserve">Nieuwe kennis- en innovatieprojecten worden voorbereid door de aangewezen onderzoeksorganisaties, in samenspraak met het bedrijfsleven. Ideeën voor nieuwe projecten worden binnen de onderzoeksorganisaties zelf getoetst op de </w:t>
      </w:r>
      <w:proofErr w:type="spellStart"/>
      <w:r w:rsidRPr="00FB27CA">
        <w:rPr>
          <w:rFonts w:asciiTheme="majorHAnsi" w:hAnsiTheme="majorHAnsi" w:cstheme="majorHAnsi"/>
          <w:sz w:val="20"/>
          <w:szCs w:val="20"/>
        </w:rPr>
        <w:t>passendheid</w:t>
      </w:r>
      <w:proofErr w:type="spellEnd"/>
      <w:r w:rsidRPr="00FB27CA">
        <w:rPr>
          <w:rFonts w:asciiTheme="majorHAnsi" w:hAnsiTheme="majorHAnsi" w:cstheme="majorHAnsi"/>
          <w:sz w:val="20"/>
          <w:szCs w:val="20"/>
        </w:rPr>
        <w:t xml:space="preserve"> bij de prioritaire thema’s/</w:t>
      </w:r>
      <w:proofErr w:type="spellStart"/>
      <w:r w:rsidRPr="00FB27CA">
        <w:rPr>
          <w:rFonts w:asciiTheme="majorHAnsi" w:hAnsiTheme="majorHAnsi" w:cstheme="majorHAnsi"/>
          <w:sz w:val="20"/>
          <w:szCs w:val="20"/>
        </w:rPr>
        <w:t>KIA’s</w:t>
      </w:r>
      <w:proofErr w:type="spellEnd"/>
      <w:r w:rsidRPr="00FB27CA">
        <w:rPr>
          <w:rFonts w:asciiTheme="majorHAnsi" w:hAnsiTheme="majorHAnsi" w:cstheme="majorHAnsi"/>
          <w:sz w:val="20"/>
          <w:szCs w:val="20"/>
        </w:rPr>
        <w:t>, de inhoud en het consortium.</w:t>
      </w:r>
    </w:p>
    <w:p w14:paraId="5FA35EE8"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De onderzoeksorganisaties dienen de projectvoorstellen in bij het TKI-programmabureau.</w:t>
      </w:r>
    </w:p>
    <w:p w14:paraId="197CD85B" w14:textId="77777777" w:rsidR="00FB27CA" w:rsidRPr="00FB27CA" w:rsidRDefault="00FB27CA" w:rsidP="00FB27CA">
      <w:pPr>
        <w:spacing w:before="360" w:after="120" w:line="280" w:lineRule="atLeast"/>
        <w:rPr>
          <w:rFonts w:ascii="Cambria" w:hAnsi="Cambria" w:cstheme="majorHAnsi"/>
          <w:b/>
          <w:sz w:val="20"/>
          <w:szCs w:val="20"/>
        </w:rPr>
      </w:pPr>
      <w:r w:rsidRPr="00FB27CA">
        <w:rPr>
          <w:rFonts w:ascii="Cambria" w:hAnsi="Cambria" w:cstheme="majorHAnsi"/>
          <w:b/>
          <w:sz w:val="20"/>
          <w:szCs w:val="20"/>
        </w:rPr>
        <w:t>Proces van indienen, beoordeling en besluitvorming</w:t>
      </w:r>
    </w:p>
    <w:p w14:paraId="6584C803"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Volledige voorstellen worden getoetst door het TKI-programmabureau op voldoen aan de administratieve eisen zoals gebruik van het format en volledigheid. Het TKI-programmabureau verspreidt de voorstellen naar de programmaraad. De leden van de programmaraad beoordelen de voorstellen op vier criteria:</w:t>
      </w:r>
    </w:p>
    <w:p w14:paraId="31FA1AB2" w14:textId="77777777" w:rsidR="00FB27CA" w:rsidRPr="00FB27CA" w:rsidRDefault="00FB27CA" w:rsidP="00FB27CA">
      <w:pPr>
        <w:pStyle w:val="ListParagraph"/>
        <w:numPr>
          <w:ilvl w:val="0"/>
          <w:numId w:val="4"/>
        </w:numPr>
        <w:spacing w:after="0" w:line="280" w:lineRule="atLeast"/>
        <w:rPr>
          <w:rFonts w:asciiTheme="majorHAnsi" w:hAnsiTheme="majorHAnsi" w:cstheme="majorHAnsi"/>
          <w:sz w:val="20"/>
          <w:szCs w:val="20"/>
        </w:rPr>
      </w:pPr>
      <w:proofErr w:type="spellStart"/>
      <w:r w:rsidRPr="00FB27CA">
        <w:rPr>
          <w:rFonts w:asciiTheme="majorHAnsi" w:hAnsiTheme="majorHAnsi" w:cstheme="majorHAnsi"/>
          <w:sz w:val="20"/>
          <w:szCs w:val="20"/>
        </w:rPr>
        <w:t>Passendheid</w:t>
      </w:r>
      <w:proofErr w:type="spellEnd"/>
      <w:r w:rsidRPr="00FB27CA">
        <w:rPr>
          <w:rFonts w:asciiTheme="majorHAnsi" w:hAnsiTheme="majorHAnsi" w:cstheme="majorHAnsi"/>
          <w:sz w:val="20"/>
          <w:szCs w:val="20"/>
        </w:rPr>
        <w:t xml:space="preserve"> bij de voor TKI Watertechnologie relevante missies en </w:t>
      </w:r>
      <w:proofErr w:type="spellStart"/>
      <w:r w:rsidRPr="00FB27CA">
        <w:rPr>
          <w:rFonts w:asciiTheme="majorHAnsi" w:hAnsiTheme="majorHAnsi" w:cstheme="majorHAnsi"/>
          <w:sz w:val="20"/>
          <w:szCs w:val="20"/>
        </w:rPr>
        <w:t>KIA’s</w:t>
      </w:r>
      <w:proofErr w:type="spellEnd"/>
    </w:p>
    <w:p w14:paraId="62DEDEF3" w14:textId="77777777" w:rsidR="00FB27CA" w:rsidRPr="00FB27CA" w:rsidRDefault="00FB27CA" w:rsidP="00FB27CA">
      <w:pPr>
        <w:pStyle w:val="ListParagraph"/>
        <w:numPr>
          <w:ilvl w:val="0"/>
          <w:numId w:val="4"/>
        </w:num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Innovatie: mate waarin het voorstel kan leiden tot een vernieuwende aanpak</w:t>
      </w:r>
    </w:p>
    <w:p w14:paraId="1B1C0AA3" w14:textId="77777777" w:rsidR="00FB27CA" w:rsidRPr="00FB27CA" w:rsidRDefault="00FB27CA" w:rsidP="00FB27CA">
      <w:pPr>
        <w:pStyle w:val="ListParagraph"/>
        <w:numPr>
          <w:ilvl w:val="0"/>
          <w:numId w:val="4"/>
        </w:num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Impact/doorwerking: maatschappelijk, economisch en wetenschappelijk</w:t>
      </w:r>
    </w:p>
    <w:p w14:paraId="1DD0DA72" w14:textId="77777777" w:rsidR="00FB27CA" w:rsidRPr="00FB27CA" w:rsidRDefault="00FB27CA" w:rsidP="00FB27CA">
      <w:pPr>
        <w:pStyle w:val="ListParagraph"/>
        <w:numPr>
          <w:ilvl w:val="0"/>
          <w:numId w:val="4"/>
        </w:num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Kwaliteit van het voorstel en het consortium</w:t>
      </w:r>
    </w:p>
    <w:p w14:paraId="705908F9" w14:textId="77777777" w:rsidR="00FB27CA" w:rsidRPr="00FB27CA" w:rsidRDefault="00FB27CA" w:rsidP="00FB27CA">
      <w:pPr>
        <w:spacing w:after="0" w:line="280" w:lineRule="atLeast"/>
        <w:rPr>
          <w:rFonts w:asciiTheme="majorHAnsi" w:hAnsiTheme="majorHAnsi" w:cstheme="majorHAnsi"/>
          <w:sz w:val="20"/>
          <w:szCs w:val="20"/>
        </w:rPr>
      </w:pPr>
    </w:p>
    <w:p w14:paraId="22BA3630"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Op basis van het schriftelijke oordeel van de individuele leden en de bespreking van de bespreekvoorstellen stelt de programmaraad een advies op aan het bestuur van TKI Watertechnologie. Het bestuur van TKI Watertechnologie besluit vervolgens of het de aangevraagde PPS-programmatoeslag inzet voor de projectvoorstellen.</w:t>
      </w:r>
    </w:p>
    <w:p w14:paraId="5CBDA17C"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lastRenderedPageBreak/>
        <w:t>Het TKI-programmabureau informeert de indieners van de projectvoorstellen over het besluit en stuurt namens het bestuur een bevestiging aan de betreffende onderzoeksorganisatie.</w:t>
      </w:r>
    </w:p>
    <w:p w14:paraId="71E8E7E9" w14:textId="77777777" w:rsidR="00FB27CA" w:rsidRPr="00FB27CA" w:rsidRDefault="00FB27CA" w:rsidP="00FB27CA">
      <w:pPr>
        <w:spacing w:before="360" w:after="120" w:line="280" w:lineRule="atLeast"/>
        <w:rPr>
          <w:rFonts w:ascii="Cambria" w:hAnsi="Cambria" w:cstheme="majorHAnsi"/>
          <w:b/>
          <w:sz w:val="20"/>
          <w:szCs w:val="20"/>
        </w:rPr>
      </w:pPr>
      <w:r w:rsidRPr="00FB27CA">
        <w:rPr>
          <w:rFonts w:ascii="Cambria" w:hAnsi="Cambria" w:cstheme="majorHAnsi"/>
          <w:b/>
          <w:sz w:val="20"/>
          <w:szCs w:val="20"/>
        </w:rPr>
        <w:t>Hoe en wanneer indienen?</w:t>
      </w:r>
    </w:p>
    <w:p w14:paraId="0F15DBFF" w14:textId="77777777" w:rsidR="00FB27CA" w:rsidRPr="00FB27CA" w:rsidRDefault="00FB27CA" w:rsidP="00FB27CA">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 xml:space="preserve">Voor het projectvoorstel is een verplicht format beschikbaar. Dit format is te downloaden van de website www.tkiwatertechnologie.nl. </w:t>
      </w:r>
    </w:p>
    <w:p w14:paraId="14B11BA7" w14:textId="4EE0E211" w:rsidR="005C724C" w:rsidRPr="001125C5" w:rsidRDefault="00FB27CA" w:rsidP="001125C5">
      <w:pPr>
        <w:spacing w:after="0" w:line="280" w:lineRule="atLeast"/>
        <w:rPr>
          <w:rFonts w:asciiTheme="majorHAnsi" w:hAnsiTheme="majorHAnsi" w:cstheme="majorHAnsi"/>
          <w:sz w:val="20"/>
          <w:szCs w:val="20"/>
        </w:rPr>
      </w:pPr>
      <w:r w:rsidRPr="00FB27CA">
        <w:rPr>
          <w:rFonts w:asciiTheme="majorHAnsi" w:hAnsiTheme="majorHAnsi" w:cstheme="majorHAnsi"/>
          <w:sz w:val="20"/>
          <w:szCs w:val="20"/>
        </w:rPr>
        <w:t xml:space="preserve">Het volledig ingevulde projectvoorstel kan vier keer per jaar worden ingediend bij het TKI-programmabureau door de betrokken onderzoeksorganisatie. De </w:t>
      </w:r>
      <w:r w:rsidR="001125C5">
        <w:rPr>
          <w:rFonts w:asciiTheme="majorHAnsi" w:hAnsiTheme="majorHAnsi" w:cstheme="majorHAnsi"/>
          <w:sz w:val="20"/>
          <w:szCs w:val="20"/>
        </w:rPr>
        <w:t>deadlines voor indiening worden vermeld op de www.tkiwatertechnologie.nl/meedoen</w:t>
      </w:r>
    </w:p>
    <w:sectPr w:rsidR="005C724C" w:rsidRPr="001125C5" w:rsidSect="006E3736">
      <w:headerReference w:type="default" r:id="rId8"/>
      <w:headerReference w:type="first" r:id="rId9"/>
      <w:pgSz w:w="11907" w:h="16839" w:code="9"/>
      <w:pgMar w:top="2835"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FECF" w14:textId="77777777" w:rsidR="00CA4480" w:rsidRDefault="00CA4480" w:rsidP="00FB27CA">
      <w:pPr>
        <w:spacing w:after="0" w:line="240" w:lineRule="auto"/>
      </w:pPr>
      <w:r>
        <w:separator/>
      </w:r>
    </w:p>
  </w:endnote>
  <w:endnote w:type="continuationSeparator" w:id="0">
    <w:p w14:paraId="293A5CB0" w14:textId="77777777" w:rsidR="00CA4480" w:rsidRDefault="00CA4480" w:rsidP="00FB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EE88" w14:textId="77777777" w:rsidR="00CA4480" w:rsidRDefault="00CA4480" w:rsidP="00FB27CA">
      <w:pPr>
        <w:spacing w:after="0" w:line="240" w:lineRule="auto"/>
      </w:pPr>
      <w:r>
        <w:separator/>
      </w:r>
    </w:p>
  </w:footnote>
  <w:footnote w:type="continuationSeparator" w:id="0">
    <w:p w14:paraId="2C69FF69" w14:textId="77777777" w:rsidR="00CA4480" w:rsidRDefault="00CA4480" w:rsidP="00FB2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46A0" w14:textId="77777777" w:rsidR="00FB27CA" w:rsidRDefault="00FB27CA" w:rsidP="00FB27CA">
    <w:pPr>
      <w:spacing w:after="120" w:line="280" w:lineRule="atLeast"/>
      <w:rPr>
        <w:noProof/>
      </w:rPr>
    </w:pPr>
    <w:r w:rsidRPr="00FB27CA">
      <w:rPr>
        <w:rFonts w:asciiTheme="minorHAnsi" w:hAnsiTheme="minorHAnsi" w:cstheme="minorHAnsi"/>
        <w:color w:val="0066A4"/>
        <w:sz w:val="28"/>
        <w:szCs w:val="20"/>
      </w:rPr>
      <w:t>TKI WATERTECHNOLOGIE</w:t>
    </w:r>
  </w:p>
  <w:tbl>
    <w:tblPr>
      <w:tblpPr w:bottomFromText="221" w:vertAnchor="page" w:horzAnchor="page" w:tblpX="8449" w:tblpY="710"/>
      <w:tblW w:w="0" w:type="auto"/>
      <w:tblLayout w:type="fixed"/>
      <w:tblCellMar>
        <w:left w:w="0" w:type="dxa"/>
        <w:right w:w="0" w:type="dxa"/>
      </w:tblCellMar>
      <w:tblLook w:val="04A0" w:firstRow="1" w:lastRow="0" w:firstColumn="1" w:lastColumn="0" w:noHBand="0" w:noVBand="1"/>
    </w:tblPr>
    <w:tblGrid>
      <w:gridCol w:w="720"/>
    </w:tblGrid>
    <w:tr w:rsidR="00FB27CA" w:rsidRPr="0081443F" w14:paraId="15DA26A7" w14:textId="77777777" w:rsidTr="006E3736">
      <w:trPr>
        <w:trHeight w:hRule="exact" w:val="240"/>
      </w:trPr>
      <w:tc>
        <w:tcPr>
          <w:tcW w:w="720" w:type="dxa"/>
          <w:shd w:val="clear" w:color="auto" w:fill="auto"/>
        </w:tcPr>
        <w:p w14:paraId="0C0423B2" w14:textId="77777777" w:rsidR="00FB27CA" w:rsidRPr="0081443F" w:rsidRDefault="00FB27CA" w:rsidP="006E3736">
          <w:pPr>
            <w:pStyle w:val="DocumentgegevenskopjeKWR"/>
          </w:pPr>
          <w:r w:rsidRPr="0081443F">
            <w:t>Pagina</w:t>
          </w:r>
        </w:p>
      </w:tc>
    </w:tr>
    <w:tr w:rsidR="00FB27CA" w:rsidRPr="0081443F" w14:paraId="23F1EB82" w14:textId="77777777" w:rsidTr="006E3736">
      <w:trPr>
        <w:trHeight w:hRule="exact" w:val="260"/>
      </w:trPr>
      <w:tc>
        <w:tcPr>
          <w:tcW w:w="720" w:type="dxa"/>
          <w:shd w:val="clear" w:color="auto" w:fill="auto"/>
        </w:tcPr>
        <w:p w14:paraId="6D0996FA" w14:textId="77777777" w:rsidR="00FB27CA" w:rsidRPr="0081443F" w:rsidRDefault="00FB27CA" w:rsidP="006E3736">
          <w:pPr>
            <w:pStyle w:val="PaginanummerKWR"/>
          </w:pPr>
          <w:r>
            <w:fldChar w:fldCharType="begin"/>
          </w:r>
          <w:r>
            <w:instrText xml:space="preserve"> Page </w:instrText>
          </w:r>
          <w:r>
            <w:fldChar w:fldCharType="separate"/>
          </w:r>
          <w:r w:rsidR="00903311">
            <w:t>2</w:t>
          </w:r>
          <w:r>
            <w:fldChar w:fldCharType="end"/>
          </w:r>
          <w:r>
            <w:t>/</w:t>
          </w:r>
          <w:r>
            <w:fldChar w:fldCharType="begin"/>
          </w:r>
          <w:r>
            <w:instrText xml:space="preserve"> Numpages </w:instrText>
          </w:r>
          <w:r>
            <w:fldChar w:fldCharType="separate"/>
          </w:r>
          <w:r w:rsidR="00903311">
            <w:t>3</w:t>
          </w:r>
          <w:r>
            <w:fldChar w:fldCharType="end"/>
          </w:r>
        </w:p>
      </w:tc>
    </w:tr>
  </w:tbl>
  <w:p w14:paraId="12E4A947" w14:textId="77777777" w:rsidR="00AB3776" w:rsidRPr="00FB27CA" w:rsidRDefault="00CA4480" w:rsidP="006E3736">
    <w:pPr>
      <w:spacing w:after="120" w:line="280" w:lineRule="atLeast"/>
      <w:rPr>
        <w:rFonts w:asciiTheme="minorHAnsi" w:hAnsiTheme="minorHAnsi" w:cstheme="minorHAnsi"/>
        <w:color w:val="0066A4"/>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EAF8" w14:textId="77777777" w:rsidR="006E3736" w:rsidRDefault="006E3736" w:rsidP="006E3736">
    <w:pPr>
      <w:spacing w:after="120" w:line="280" w:lineRule="atLeast"/>
      <w:rPr>
        <w:noProof/>
      </w:rPr>
    </w:pPr>
    <w:r>
      <w:rPr>
        <w:noProof/>
        <w:lang w:eastAsia="nl-NL"/>
      </w:rPr>
      <w:drawing>
        <wp:anchor distT="0" distB="0" distL="114300" distR="114300" simplePos="0" relativeHeight="251663360" behindDoc="0" locked="0" layoutInCell="1" allowOverlap="1" wp14:anchorId="44D4FDAA" wp14:editId="3A144D3B">
          <wp:simplePos x="0" y="0"/>
          <wp:positionH relativeFrom="column">
            <wp:posOffset>5021580</wp:posOffset>
          </wp:positionH>
          <wp:positionV relativeFrom="paragraph">
            <wp:posOffset>-50165</wp:posOffset>
          </wp:positionV>
          <wp:extent cx="720000" cy="125818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psector Water &amp; Maritiem blauwe letters witte achtergrond.png"/>
                  <pic:cNvPicPr/>
                </pic:nvPicPr>
                <pic:blipFill rotWithShape="1">
                  <a:blip r:embed="rId1">
                    <a:extLst>
                      <a:ext uri="{28A0092B-C50C-407E-A947-70E740481C1C}">
                        <a14:useLocalDpi xmlns:a14="http://schemas.microsoft.com/office/drawing/2010/main" val="0"/>
                      </a:ext>
                    </a:extLst>
                  </a:blip>
                  <a:srcRect l="18024" t="4615" r="15888" b="6666"/>
                  <a:stretch/>
                </pic:blipFill>
                <pic:spPr bwMode="auto">
                  <a:xfrm>
                    <a:off x="0" y="0"/>
                    <a:ext cx="720000" cy="1258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27CA">
      <w:rPr>
        <w:rFonts w:asciiTheme="minorHAnsi" w:hAnsiTheme="minorHAnsi" w:cstheme="minorHAnsi"/>
        <w:color w:val="0066A4"/>
        <w:sz w:val="28"/>
        <w:szCs w:val="20"/>
      </w:rPr>
      <w:t>TKI WATERTECHNOLOGIE</w:t>
    </w:r>
  </w:p>
  <w:tbl>
    <w:tblPr>
      <w:tblpPr w:bottomFromText="221" w:vertAnchor="page" w:horzAnchor="page" w:tblpX="8449" w:tblpY="710"/>
      <w:tblW w:w="0" w:type="auto"/>
      <w:tblLayout w:type="fixed"/>
      <w:tblCellMar>
        <w:left w:w="0" w:type="dxa"/>
        <w:right w:w="0" w:type="dxa"/>
      </w:tblCellMar>
      <w:tblLook w:val="04A0" w:firstRow="1" w:lastRow="0" w:firstColumn="1" w:lastColumn="0" w:noHBand="0" w:noVBand="1"/>
    </w:tblPr>
    <w:tblGrid>
      <w:gridCol w:w="720"/>
    </w:tblGrid>
    <w:tr w:rsidR="006E3736" w:rsidRPr="0081443F" w14:paraId="79A50270" w14:textId="77777777" w:rsidTr="009E00C0">
      <w:trPr>
        <w:trHeight w:hRule="exact" w:val="240"/>
      </w:trPr>
      <w:tc>
        <w:tcPr>
          <w:tcW w:w="720" w:type="dxa"/>
          <w:shd w:val="clear" w:color="auto" w:fill="auto"/>
        </w:tcPr>
        <w:p w14:paraId="3C67EABC" w14:textId="77777777" w:rsidR="006E3736" w:rsidRPr="0081443F" w:rsidRDefault="006E3736" w:rsidP="006E3736">
          <w:pPr>
            <w:pStyle w:val="DocumentgegevenskopjeKWR"/>
          </w:pPr>
          <w:r w:rsidRPr="0081443F">
            <w:t>Pagina</w:t>
          </w:r>
        </w:p>
      </w:tc>
    </w:tr>
    <w:tr w:rsidR="006E3736" w:rsidRPr="0081443F" w14:paraId="339F57D1" w14:textId="77777777" w:rsidTr="009E00C0">
      <w:trPr>
        <w:trHeight w:hRule="exact" w:val="260"/>
      </w:trPr>
      <w:tc>
        <w:tcPr>
          <w:tcW w:w="720" w:type="dxa"/>
          <w:shd w:val="clear" w:color="auto" w:fill="auto"/>
        </w:tcPr>
        <w:p w14:paraId="4A5B8237" w14:textId="77777777" w:rsidR="006E3736" w:rsidRPr="0081443F" w:rsidRDefault="006E3736" w:rsidP="006E3736">
          <w:pPr>
            <w:pStyle w:val="PaginanummerKWR"/>
          </w:pPr>
          <w:r>
            <w:fldChar w:fldCharType="begin"/>
          </w:r>
          <w:r>
            <w:instrText xml:space="preserve"> Page </w:instrText>
          </w:r>
          <w:r>
            <w:fldChar w:fldCharType="separate"/>
          </w:r>
          <w:r w:rsidR="00FD46D6">
            <w:t>1</w:t>
          </w:r>
          <w:r>
            <w:fldChar w:fldCharType="end"/>
          </w:r>
          <w:r>
            <w:t>/</w:t>
          </w:r>
          <w:r>
            <w:fldChar w:fldCharType="begin"/>
          </w:r>
          <w:r>
            <w:instrText xml:space="preserve"> Numpages </w:instrText>
          </w:r>
          <w:r>
            <w:fldChar w:fldCharType="separate"/>
          </w:r>
          <w:r w:rsidR="00FD46D6">
            <w:t>3</w:t>
          </w:r>
          <w:r>
            <w:fldChar w:fldCharType="end"/>
          </w:r>
        </w:p>
      </w:tc>
    </w:tr>
  </w:tbl>
  <w:p w14:paraId="02F8AC9E" w14:textId="77777777" w:rsidR="00FB27CA" w:rsidRDefault="00FB27CA" w:rsidP="006E3736">
    <w:pPr>
      <w:spacing w:after="120" w:line="280" w:lineRule="atLeas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CFE"/>
    <w:multiLevelType w:val="hybridMultilevel"/>
    <w:tmpl w:val="4078BE62"/>
    <w:lvl w:ilvl="0" w:tplc="65E20FF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D115F9"/>
    <w:multiLevelType w:val="hybridMultilevel"/>
    <w:tmpl w:val="51EAE8A8"/>
    <w:lvl w:ilvl="0" w:tplc="65E20FF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4DA6EF9"/>
    <w:multiLevelType w:val="hybridMultilevel"/>
    <w:tmpl w:val="28E8953C"/>
    <w:lvl w:ilvl="0" w:tplc="65E20FF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C2634C8"/>
    <w:multiLevelType w:val="hybridMultilevel"/>
    <w:tmpl w:val="1430E2A8"/>
    <w:lvl w:ilvl="0" w:tplc="30AEDA58">
      <w:start w:val="1"/>
      <w:numFmt w:val="decimal"/>
      <w:lvlText w:val="%1."/>
      <w:lvlJc w:val="left"/>
      <w:pPr>
        <w:ind w:left="360" w:hanging="360"/>
      </w:pPr>
      <w:rPr>
        <w:rFonts w:hint="default"/>
        <w:color w:val="auto"/>
        <w:u w:color="00B9EA"/>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CA"/>
    <w:rsid w:val="001125C5"/>
    <w:rsid w:val="00314C4A"/>
    <w:rsid w:val="00411767"/>
    <w:rsid w:val="005C724C"/>
    <w:rsid w:val="006E3736"/>
    <w:rsid w:val="00903311"/>
    <w:rsid w:val="00CA4480"/>
    <w:rsid w:val="00F52A7B"/>
    <w:rsid w:val="00FA3DEF"/>
    <w:rsid w:val="00FB27CA"/>
    <w:rsid w:val="00FD4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BE9BB"/>
  <w15:chartTrackingRefBased/>
  <w15:docId w15:val="{24A2C3A6-37C4-4589-ACC5-A6D08E0E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CA"/>
    <w:pPr>
      <w:spacing w:line="255" w:lineRule="atLeast"/>
    </w:pPr>
    <w:rPr>
      <w:rFonts w:ascii="Lucida Sans" w:hAnsi="Lucida San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WR-Koptekst"/>
    <w:basedOn w:val="Normal"/>
    <w:link w:val="HeaderChar"/>
    <w:unhideWhenUsed/>
    <w:rsid w:val="00FB27CA"/>
    <w:pPr>
      <w:tabs>
        <w:tab w:val="center" w:pos="4536"/>
        <w:tab w:val="right" w:pos="9072"/>
      </w:tabs>
      <w:spacing w:after="0" w:line="240" w:lineRule="auto"/>
    </w:pPr>
  </w:style>
  <w:style w:type="character" w:customStyle="1" w:styleId="HeaderChar">
    <w:name w:val="Header Char"/>
    <w:aliases w:val="KWR-Koptekst Char"/>
    <w:basedOn w:val="DefaultParagraphFont"/>
    <w:link w:val="Header"/>
    <w:rsid w:val="00FB27CA"/>
    <w:rPr>
      <w:rFonts w:ascii="Lucida Sans" w:hAnsi="Lucida Sans"/>
      <w:sz w:val="17"/>
    </w:rPr>
  </w:style>
  <w:style w:type="table" w:styleId="TableGrid">
    <w:name w:val="Table Grid"/>
    <w:basedOn w:val="TableNormal"/>
    <w:rsid w:val="00FB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7CA"/>
    <w:pPr>
      <w:ind w:left="720"/>
      <w:contextualSpacing/>
    </w:pPr>
  </w:style>
  <w:style w:type="character" w:styleId="CommentReference">
    <w:name w:val="annotation reference"/>
    <w:basedOn w:val="DefaultParagraphFont"/>
    <w:uiPriority w:val="99"/>
    <w:semiHidden/>
    <w:unhideWhenUsed/>
    <w:rsid w:val="00FB27CA"/>
    <w:rPr>
      <w:sz w:val="16"/>
      <w:szCs w:val="16"/>
    </w:rPr>
  </w:style>
  <w:style w:type="paragraph" w:styleId="CommentText">
    <w:name w:val="annotation text"/>
    <w:basedOn w:val="Normal"/>
    <w:link w:val="CommentTextChar"/>
    <w:uiPriority w:val="99"/>
    <w:unhideWhenUsed/>
    <w:rsid w:val="00FB27CA"/>
    <w:pPr>
      <w:spacing w:line="240" w:lineRule="auto"/>
    </w:pPr>
    <w:rPr>
      <w:sz w:val="20"/>
      <w:szCs w:val="20"/>
    </w:rPr>
  </w:style>
  <w:style w:type="character" w:customStyle="1" w:styleId="CommentTextChar">
    <w:name w:val="Comment Text Char"/>
    <w:basedOn w:val="DefaultParagraphFont"/>
    <w:link w:val="CommentText"/>
    <w:uiPriority w:val="99"/>
    <w:rsid w:val="00FB27CA"/>
    <w:rPr>
      <w:rFonts w:ascii="Lucida Sans" w:hAnsi="Lucida Sans"/>
      <w:sz w:val="20"/>
      <w:szCs w:val="20"/>
    </w:rPr>
  </w:style>
  <w:style w:type="character" w:styleId="Hyperlink">
    <w:name w:val="Hyperlink"/>
    <w:basedOn w:val="DefaultParagraphFont"/>
    <w:uiPriority w:val="99"/>
    <w:unhideWhenUsed/>
    <w:rsid w:val="00FB27CA"/>
    <w:rPr>
      <w:color w:val="0563C1" w:themeColor="hyperlink"/>
      <w:u w:val="single"/>
    </w:rPr>
  </w:style>
  <w:style w:type="paragraph" w:styleId="BalloonText">
    <w:name w:val="Balloon Text"/>
    <w:basedOn w:val="Normal"/>
    <w:link w:val="BalloonTextChar"/>
    <w:uiPriority w:val="99"/>
    <w:semiHidden/>
    <w:unhideWhenUsed/>
    <w:rsid w:val="00FB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CA"/>
    <w:rPr>
      <w:rFonts w:ascii="Segoe UI" w:hAnsi="Segoe UI" w:cs="Segoe UI"/>
      <w:sz w:val="18"/>
      <w:szCs w:val="18"/>
    </w:rPr>
  </w:style>
  <w:style w:type="paragraph" w:styleId="Footer">
    <w:name w:val="footer"/>
    <w:basedOn w:val="Normal"/>
    <w:link w:val="FooterChar"/>
    <w:uiPriority w:val="99"/>
    <w:unhideWhenUsed/>
    <w:rsid w:val="00FB2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7CA"/>
    <w:rPr>
      <w:rFonts w:ascii="Lucida Sans" w:hAnsi="Lucida Sans"/>
      <w:sz w:val="17"/>
    </w:rPr>
  </w:style>
  <w:style w:type="paragraph" w:customStyle="1" w:styleId="DocumentgegevenskopjeKWR">
    <w:name w:val="Documentgegevens kopje KWR"/>
    <w:basedOn w:val="Normal"/>
    <w:uiPriority w:val="4"/>
    <w:rsid w:val="00FB27CA"/>
    <w:pPr>
      <w:spacing w:after="0" w:line="240" w:lineRule="exact"/>
    </w:pPr>
    <w:rPr>
      <w:rFonts w:ascii="Calibri" w:eastAsia="Times New Roman" w:hAnsi="Calibri" w:cs="Maiandra GD"/>
      <w:b/>
      <w:noProof/>
      <w:color w:val="000000" w:themeColor="text1"/>
      <w:sz w:val="18"/>
      <w:szCs w:val="18"/>
      <w:lang w:eastAsia="nl-NL"/>
    </w:rPr>
  </w:style>
  <w:style w:type="paragraph" w:customStyle="1" w:styleId="PaginanummerKWR">
    <w:name w:val="Paginanummer KWR"/>
    <w:basedOn w:val="Normal"/>
    <w:uiPriority w:val="4"/>
    <w:rsid w:val="00FB27CA"/>
    <w:pPr>
      <w:spacing w:after="0" w:line="240" w:lineRule="exact"/>
    </w:pPr>
    <w:rPr>
      <w:rFonts w:ascii="Calibri Light" w:eastAsia="Times New Roman" w:hAnsi="Calibri Light" w:cs="Maiandra GD"/>
      <w:noProof/>
      <w:color w:val="000000" w:themeColor="text1"/>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vo.nl/subsidies-regelingen/pps-toeslag-onderzoek-en-innovatie/definities/definities-pps-toeslag-onderzoek-en-innov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KWR Watercycle Research Institute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Hummelen, Anne</dc:creator>
  <cp:keywords/>
  <dc:description/>
  <cp:lastModifiedBy>Pronk, Geertje</cp:lastModifiedBy>
  <cp:revision>2</cp:revision>
  <cp:lastPrinted>2019-12-03T09:32:00Z</cp:lastPrinted>
  <dcterms:created xsi:type="dcterms:W3CDTF">2022-02-21T13:45:00Z</dcterms:created>
  <dcterms:modified xsi:type="dcterms:W3CDTF">2022-02-21T13:45:00Z</dcterms:modified>
</cp:coreProperties>
</file>